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化学化工学院20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sz w:val="32"/>
          <w:szCs w:val="32"/>
        </w:rPr>
        <w:t>级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全日制</w:t>
      </w:r>
      <w:r>
        <w:rPr>
          <w:rFonts w:hint="eastAsia" w:ascii="仿宋" w:hAnsi="仿宋" w:eastAsia="仿宋" w:cs="仿宋"/>
          <w:b/>
          <w:sz w:val="32"/>
          <w:szCs w:val="32"/>
        </w:rPr>
        <w:t>硕士研究生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2023年度</w:t>
      </w:r>
      <w:r>
        <w:rPr>
          <w:rFonts w:hint="eastAsia" w:ascii="仿宋" w:hAnsi="仿宋" w:eastAsia="仿宋" w:cs="仿宋"/>
          <w:b/>
          <w:sz w:val="32"/>
          <w:szCs w:val="32"/>
        </w:rPr>
        <w:t>学业奖学金评审办法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相关事项</w:t>
      </w:r>
    </w:p>
    <w:p>
      <w:pPr>
        <w:numPr>
          <w:ilvl w:val="0"/>
          <w:numId w:val="0"/>
        </w:numPr>
        <w:ind w:left="3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成立院评审委员会：院长任委员会主席，主管研究生工作副院长任副主席，成员由学院分学位委员会成员组成；</w:t>
      </w:r>
    </w:p>
    <w:p>
      <w:pPr>
        <w:numPr>
          <w:ilvl w:val="0"/>
          <w:numId w:val="0"/>
        </w:numPr>
        <w:ind w:left="3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年11月1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日前</w:t>
      </w:r>
    </w:p>
    <w:p>
      <w:pPr>
        <w:numPr>
          <w:ilvl w:val="0"/>
          <w:numId w:val="0"/>
        </w:numPr>
        <w:ind w:left="3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评审程序：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将本评审办法在学院内公示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学生递交申请材料（发表论文和公开专利等证明复印件）</w:t>
      </w:r>
    </w:p>
    <w:p>
      <w:pPr>
        <w:ind w:left="42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注：如无论文和专利等科研成果则不用递交材料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导师进行评价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学院根据评审细则，获得评审结果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学院网站公示评审结果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在公示期内，如有异议可以向院评审委员会提出申诉，由评审委员会进行审议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上报评审结果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二、评审标准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申请硕博连读的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，经与所报考导师确认拟录取，直接获得一等学业奖学金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以博士生招生报名系统网报记录及导师拟接收确认函为准；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(二）</w:t>
      </w:r>
      <w:r>
        <w:rPr>
          <w:rFonts w:hint="eastAsia" w:ascii="仿宋" w:hAnsi="仿宋" w:eastAsia="仿宋" w:cs="仿宋"/>
          <w:sz w:val="28"/>
          <w:szCs w:val="28"/>
        </w:rPr>
        <w:t>学生根据课程成绩、科研情况、导师评价以及等级名额进行评分和排序，最终确定等级，具体评分标准如下：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1、资格分——</w:t>
      </w:r>
      <w:r>
        <w:rPr>
          <w:rFonts w:hint="eastAsia" w:ascii="仿宋" w:hAnsi="仿宋" w:eastAsia="仿宋" w:cs="仿宋"/>
          <w:sz w:val="28"/>
          <w:szCs w:val="28"/>
        </w:rPr>
        <w:t>科研态度与导师评价</w:t>
      </w:r>
    </w:p>
    <w:p>
      <w:pPr>
        <w:ind w:firstLine="140" w:firstLineChars="5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评分标准：</w:t>
      </w:r>
      <w:r>
        <w:rPr>
          <w:rFonts w:hint="eastAsia" w:ascii="仿宋" w:hAnsi="仿宋" w:eastAsia="仿宋" w:cs="仿宋"/>
          <w:bCs/>
          <w:sz w:val="28"/>
          <w:szCs w:val="28"/>
        </w:rPr>
        <w:t>分为优、良、差三个等级。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获得“优”等，在同等条件下</w:t>
      </w:r>
      <w:r>
        <w:rPr>
          <w:rFonts w:hint="eastAsia" w:ascii="仿宋" w:hAnsi="仿宋" w:eastAsia="仿宋" w:cs="仿宋"/>
          <w:bCs/>
          <w:sz w:val="28"/>
          <w:szCs w:val="28"/>
        </w:rPr>
        <w:t>优先评选一等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学业奖学金；导师评价</w:t>
      </w:r>
      <w:r>
        <w:rPr>
          <w:rFonts w:hint="eastAsia" w:ascii="仿宋" w:hAnsi="仿宋" w:eastAsia="仿宋" w:cs="仿宋"/>
          <w:bCs/>
          <w:sz w:val="28"/>
          <w:szCs w:val="28"/>
        </w:rPr>
        <w:t>“差”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的，将不得参评学业奖学金。</w:t>
      </w:r>
    </w:p>
    <w:p>
      <w:pPr>
        <w:ind w:firstLine="140" w:firstLineChars="5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firstLine="140" w:firstLineChars="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基础分——</w:t>
      </w:r>
      <w:r>
        <w:rPr>
          <w:rFonts w:hint="eastAsia" w:ascii="仿宋" w:hAnsi="仿宋" w:eastAsia="仿宋" w:cs="仿宋"/>
          <w:sz w:val="28"/>
          <w:szCs w:val="28"/>
        </w:rPr>
        <w:t>课程成绩（GPA）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评分标准：</w:t>
      </w:r>
      <w:r>
        <w:rPr>
          <w:rFonts w:hint="eastAsia" w:ascii="仿宋" w:hAnsi="仿宋" w:eastAsia="仿宋" w:cs="仿宋"/>
          <w:sz w:val="28"/>
          <w:szCs w:val="28"/>
        </w:rPr>
        <w:t>分数（百分制）=（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平均</w:t>
      </w:r>
      <w:r>
        <w:rPr>
          <w:rFonts w:hint="eastAsia" w:ascii="仿宋" w:hAnsi="仿宋" w:eastAsia="仿宋" w:cs="仿宋"/>
          <w:sz w:val="28"/>
          <w:szCs w:val="28"/>
        </w:rPr>
        <w:t>GPA/4.0）╳100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*50%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以院教务办数据为准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ind w:leftChars="5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140" w:firstLineChars="5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科研加分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（1）发表学术论文（含接收）</w:t>
      </w:r>
    </w:p>
    <w:tbl>
      <w:tblPr>
        <w:tblStyle w:val="3"/>
        <w:tblpPr w:leftFromText="180" w:rightFromText="180" w:vertAnchor="text" w:horzAnchor="page" w:tblpX="2768" w:tblpY="136"/>
        <w:tblOverlap w:val="never"/>
        <w:tblW w:w="456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6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中科院Q1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u w:val="none"/>
                <w:lang w:val="en-US" w:eastAsia="zh-CN"/>
              </w:rPr>
              <w:t>+20分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中科院Q2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+10分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其余SCI/EI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+5分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中文核心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+2分</w:t>
            </w:r>
          </w:p>
        </w:tc>
      </w:tr>
    </w:tbl>
    <w:p>
      <w:pPr>
        <w:numPr>
          <w:ilvl w:val="0"/>
          <w:numId w:val="0"/>
        </w:numPr>
        <w:ind w:left="40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注：中科院分区依据：</w:t>
      </w:r>
      <w:r>
        <w:rPr>
          <w:rFonts w:hint="eastAsia" w:ascii="仿宋" w:hAnsi="仿宋" w:eastAsia="仿宋" w:cs="仿宋"/>
          <w:bCs/>
          <w:sz w:val="28"/>
          <w:szCs w:val="28"/>
        </w:rPr>
        <w:t>中科院分区表公众号最新分区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3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专利： 一篇按2分计算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（3）关于科研成果加分认定依据：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署名单位须为上海交大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学术论文应为研究性论文（非综述）；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学术论文署名计分规则：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独立一作计一篇；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如导师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为一作兼通讯作者，学生为第二作者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按学生一作计算；</w:t>
      </w:r>
    </w:p>
    <w:p>
      <w:pPr>
        <w:numPr>
          <w:ilvl w:val="0"/>
          <w:numId w:val="4"/>
        </w:numPr>
        <w:ind w:left="425" w:leftChars="0" w:hanging="425" w:firstLine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其余情形下，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作者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署名不计分；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专利成果加分认定规则：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a.第一发明人计一篇；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b.导师排序第一，学生排序第二计一篇；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c.其余情形不计分；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④多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个成果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分数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累加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；</w:t>
      </w:r>
    </w:p>
    <w:p>
      <w:p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⑤所有科研成果均为硕士研究生入学后所取得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学术论文以发表或接收日期为准；专利以公开日期为准；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⑥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</w:rPr>
        <w:t>论文有多位共同一作的，以该论文分值除以一作人数计分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注：中科院分区依据：</w:t>
      </w:r>
      <w:r>
        <w:rPr>
          <w:rFonts w:hint="eastAsia" w:ascii="仿宋" w:hAnsi="仿宋" w:eastAsia="仿宋" w:cs="仿宋"/>
          <w:bCs/>
          <w:sz w:val="24"/>
          <w:szCs w:val="24"/>
        </w:rPr>
        <w:t>中科院分区表公众号最新分区</w:t>
      </w:r>
    </w:p>
    <w:p>
      <w:pP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(三）学位论文中期检查</w:t>
      </w:r>
      <w:r>
        <w:rPr>
          <w:rFonts w:hint="eastAsia" w:ascii="仿宋" w:hAnsi="仿宋" w:eastAsia="仿宋" w:cs="仿宋"/>
          <w:sz w:val="28"/>
          <w:szCs w:val="28"/>
        </w:rPr>
        <w:t>成绩为所在小组后10%不得参评一等奖学金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以下情况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将不允许参评学业奖学金：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1) 触犯国家法律、法规，违反校纪校规，参加非法社团组织；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2)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</w:t>
      </w:r>
      <w:r>
        <w:rPr>
          <w:rFonts w:hint="eastAsia" w:ascii="仿宋" w:hAnsi="仿宋" w:eastAsia="仿宋" w:cs="仿宋"/>
          <w:sz w:val="28"/>
          <w:szCs w:val="28"/>
        </w:rPr>
        <w:t>考核未通过（GPA计算源课程成绩为F；平均GPA&lt;2.7）；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3) 导师评价为“差”；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4) 如学生本人提供的材料中有虚假成分，一经查实即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取消学业奖学金评审资格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如评审结果出现平分，则有以下情形的可优先评为高等级奖学金：</w:t>
      </w:r>
    </w:p>
    <w:p>
      <w:pPr>
        <w:numPr>
          <w:ilvl w:val="0"/>
          <w:numId w:val="0"/>
        </w:numPr>
        <w:ind w:left="3" w:leftChars="0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1）导师评价为“优”；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以第一作者发表其他种类论文的（如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综述、</w:t>
      </w:r>
      <w:r>
        <w:rPr>
          <w:rFonts w:hint="eastAsia" w:ascii="仿宋" w:hAnsi="仿宋" w:eastAsia="仿宋" w:cs="仿宋"/>
          <w:sz w:val="28"/>
          <w:szCs w:val="28"/>
        </w:rPr>
        <w:t>会议论文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sz w:val="28"/>
          <w:szCs w:val="28"/>
        </w:rPr>
        <w:t>学生作为第二作者发表论文，第一作者不是导师的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sz w:val="28"/>
          <w:szCs w:val="28"/>
        </w:rPr>
        <w:t>家庭经济情况较差的，但已经获得高额专项助学金的除外；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</w:t>
      </w:r>
      <w:r>
        <w:rPr>
          <w:rFonts w:hint="eastAsia" w:ascii="仿宋" w:hAnsi="仿宋" w:eastAsia="仿宋" w:cs="仿宋"/>
          <w:sz w:val="28"/>
          <w:szCs w:val="28"/>
        </w:rPr>
        <w:t>以上情形均无，则由评审委员会讨论决定最终等级。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tbl>
      <w:tblPr>
        <w:tblStyle w:val="3"/>
        <w:tblpPr w:leftFromText="180" w:rightFromText="180" w:vertAnchor="text" w:horzAnchor="page" w:tblpX="2175" w:tblpY="743"/>
        <w:tblOverlap w:val="never"/>
        <w:tblW w:w="690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409"/>
        <w:gridCol w:w="25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额度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总名额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一等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占总人数30%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2000/年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（按月核算）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二等</w:t>
            </w:r>
          </w:p>
        </w:tc>
        <w:tc>
          <w:tcPr>
            <w:tcW w:w="24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（按月核算）</w:t>
            </w:r>
          </w:p>
        </w:tc>
        <w:tc>
          <w:tcPr>
            <w:tcW w:w="25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≤41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三、奖学金等级标准及名额分配（20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/>
          <w:sz w:val="28"/>
          <w:szCs w:val="28"/>
        </w:rPr>
        <w:t>级共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58</w:t>
      </w:r>
      <w:r>
        <w:rPr>
          <w:rFonts w:hint="eastAsia" w:ascii="仿宋" w:hAnsi="仿宋" w:eastAsia="仿宋" w:cs="仿宋"/>
          <w:b/>
          <w:sz w:val="28"/>
          <w:szCs w:val="28"/>
        </w:rPr>
        <w:t>人参评）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left="720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5"/>
        </w:num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其它重要事项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 w:bidi="ar"/>
        </w:rPr>
        <w:t>硕士研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究生学业奖学金按年评定，按月核算（以12个月/年计），根据在校有效月数累计奖励金额，于年底前一次性发放给硕士研究生；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、每位学生在学业奖学金之外均可享受每月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00元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*10个月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按月发放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的国家助学金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、硕士研究生硕博连读的从博士入学开始不再发放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硕士生</w:t>
      </w:r>
      <w:r>
        <w:rPr>
          <w:rFonts w:hint="eastAsia" w:ascii="仿宋" w:hAnsi="仿宋" w:eastAsia="仿宋" w:cs="仿宋"/>
          <w:sz w:val="28"/>
          <w:szCs w:val="28"/>
        </w:rPr>
        <w:t>学业奖学金，转为享受博士待遇；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、硕士研究生在正常学习年限内注册后经批准办理休学的，学生处应自批准之日的下个月起停发休学期间的学业奖学金；如在正常学习年限内办理复学的，学生处应自批准复学之日的下个月起重启发放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可补发基本学习年限内停发的学业奖学金</w:t>
      </w:r>
      <w:r>
        <w:rPr>
          <w:rFonts w:hint="eastAsia" w:ascii="仿宋" w:hAnsi="仿宋" w:eastAsia="仿宋" w:cs="仿宋"/>
          <w:sz w:val="28"/>
          <w:szCs w:val="28"/>
        </w:rPr>
        <w:t>；如办理复学时已超出正常学习年限的，不再重启发放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对于经研究生院批准延期毕业的研究生，在基本学习年限外不再参与学业奖学金评定；对于经研究生院批准结业或退学的研究生，自学籍异动生效起不再参与学业奖学金评定。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五、评审日程安排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日前  公示评审办法(学院网站)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2、11月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日前  学生上交评审证明材料至学院教务办孙婷老师处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3、11月1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前</w:t>
      </w:r>
      <w:r>
        <w:rPr>
          <w:rFonts w:hint="eastAsia" w:ascii="仿宋" w:hAnsi="仿宋" w:eastAsia="仿宋" w:cs="仿宋"/>
          <w:sz w:val="28"/>
          <w:szCs w:val="28"/>
        </w:rPr>
        <w:t xml:space="preserve">   公示评审结果(学院网站)，同时上报研究生院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化学化工学院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</w:p>
    <w:p>
      <w:pPr>
        <w:jc w:val="left"/>
        <w:rPr>
          <w:rFonts w:hint="eastAsia" w:ascii="仿宋" w:hAnsi="仿宋" w:eastAsia="仿宋" w:cs="仿宋"/>
          <w:b/>
          <w:color w:val="FF000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ED491"/>
    <w:multiLevelType w:val="singleLevel"/>
    <w:tmpl w:val="C1FED49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434DBC0"/>
    <w:multiLevelType w:val="singleLevel"/>
    <w:tmpl w:val="1434DB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A731C7"/>
    <w:multiLevelType w:val="multilevel"/>
    <w:tmpl w:val="30A731C7"/>
    <w:lvl w:ilvl="0" w:tentative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361D0C7"/>
    <w:multiLevelType w:val="singleLevel"/>
    <w:tmpl w:val="5361D0C7"/>
    <w:lvl w:ilvl="0" w:tentative="0">
      <w:start w:val="2"/>
      <w:numFmt w:val="decimal"/>
      <w:suff w:val="nothing"/>
      <w:lvlText w:val="（%1）"/>
      <w:lvlJc w:val="left"/>
    </w:lvl>
  </w:abstractNum>
  <w:abstractNum w:abstractNumId="4">
    <w:nsid w:val="796FF60E"/>
    <w:multiLevelType w:val="singleLevel"/>
    <w:tmpl w:val="796FF60E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NDNlZTVhOWM0YzQ0ODZiMjc0NDJiZjkwNjQzOWYifQ=="/>
  </w:docVars>
  <w:rsids>
    <w:rsidRoot w:val="00000000"/>
    <w:rsid w:val="1B1349CE"/>
    <w:rsid w:val="1D0D2281"/>
    <w:rsid w:val="1F3501D5"/>
    <w:rsid w:val="27BD045F"/>
    <w:rsid w:val="34AF08D7"/>
    <w:rsid w:val="547A59EF"/>
    <w:rsid w:val="6A4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2022-10-14T06:53:00Z</dcterms:created>
  <dc:creator>cindy</dc:creator>
  <cp:lastModifiedBy>孙婷</cp:lastModifiedBy>
  <dcterms:modified xsi:type="dcterms:W3CDTF">2023-11-02T06:59:22Z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875603BFB593458E9875F7AD9319FF13</vt:lpwstr>
  </property>
</Properties>
</file>